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492</w:t>
      </w:r>
    </w:p>
    <w:p>
      <w:r>
        <w:t>Bundesgericht (BGE), 1999-11-11, DE</w:t>
      </w:r>
    </w:p>
    <w:p>
      <w:r>
        <w:rPr>
          <w:b/>
        </w:rPr>
        <w:t xml:space="preserve">Quelle: </w:t>
      </w:r>
      <w:r>
        <w:t>https://mcp.opencaselaw.ch/entscheid/bge_125 I 492</w:t>
      </w:r>
    </w:p>
    <w:p>
      <w:r>
        <w:t>FR: ATF 125 I 492</w:t>
      </w:r>
    </w:p>
    <w:p>
      <w:r>
        <w:t>IT: DTF 125 I 492</w:t>
      </w:r>
    </w:p>
    <w:p>
      <w:pPr>
        <w:pStyle w:val="Heading2"/>
      </w:pPr>
      <w:r>
        <w:t>Regeste</w:t>
      </w:r>
    </w:p>
    <w:p>
      <w:r>
        <w:t>Regeste Art. 86 OG und Art. 87 OG, Art. 90 Abs. 1 lit. b OG. Staatsrechtliche Beschwerde gegen das Urteil einer letzten kantonalen Rechtsmittelinstanz mit beschränkter Überprüfungsbefugnis. Auch wenn das unterinstanzliche kantonale Urteil nach der "Dorénaz-Praxis" formell nicht mitangefochten werden kann, darf und muss sich der Beschwerdeführer in der Begründung der staatsrechtlichen Beschwerde materiell gegen dessen Beweiswürdigung, die die letzte - mit beschränkter Prüfungsbefugnis ausgestattete - kantonale Instanz als nicht willkürlich befand, wenden. Er hat sich allerdings gleichzeitig mit der Begründung des allein Anfechtungsobjekt bildenden letztinstanzlichen kantonalen Urteils auseinander zu setzen und aufzuzeigen, dass und weshalb darin eine willkürliche Beweiswürdigung der unteren Instanz zu Unrecht verneint wurde. Diese Frage prüft das Bundesgericht frei.</w:t>
      </w:r>
    </w:p>
    <w:p>
      <w:pPr>
        <w:pStyle w:val="Heading2"/>
      </w:pPr>
      <w:r>
        <w:t>Erwägungen</w:t>
      </w:r>
    </w:p>
    <w:p>
      <w:r>
        <w:rPr>
          <w:b/>
        </w:rPr>
        <w:t>E. 1</w:t>
      </w:r>
    </w:p>
    <w:p>
      <w:r>
        <w:t>a) Die staatsrechtliche Beschwerde ist grundsätzlich nur gegen letztinstanzliche Entscheide zulässig ( Art. 86 und 87 OG ). aa) Der Beschwerdeführer beantragt ausser der Aufhebung des Urteils des Kassationsgerichts des Kantons Zürich vom 3. Mai 1999 auch die Aufhebung des Urteils des Obergerichts vom 9. Oktober 1997. Er stützt sich dabei auf die in BGE 94 I 459 ff. begründete sogenannte "Dorénaz-Praxis", wonach das Urteil einer unteren In-stanz mitangefochten werden kann, wenn die letzte kantonale Instanz dieses nur mit beschränkter Kognition hat überprüfen dürfen. Das Bundesgericht hat diese Ausnahmeregel indessen in einer seit BGE 111 Ia 353 E. 1b gefestigten Rechtsprechung eingeschränkt. Sie gilt danach nur, wenn die Möglichkeit der Aufhebung des unterinstanzlichen BGE 125 I 492 S. 494 kantonalen Urteils zur Wahrung des vollen Rechtsschutzes erforderlich ist. Dies ist der Fall, wenn entweder der letzten kantonalen Instanz nicht sämtliche vor Bundesgericht erhobenen Rügen unterbreitet werden konnten, oder wenn solche Rügen zwar von der letzten kantonalen Instanz zu beurteilen waren, jedoch mit einer engeren Prüfungsbefugnis, als sie dem Bundesgericht zusteht ( BGE 118 Ia 165 E. 2b S. 169; BGE 117 Ia 412 E. 1b S. 414; vgl. auch BGE 120 Ia 19 E. 2b S. 23). bb) Der Beschwerdeführer rügt hauptsächlich, die Beweiswürdigung der kantonalen Instanzen sei willkürlich, und macht geltend, die Nichtabnahme von beantragten Zeugenbeweisen laufe auf eine Verweigerung des rechtlichen Gehörs hinaus. Ausser auf Art. 4 BV beruft sich der Beschwerdeführer auch auf den Grundsatz der Unschuldsvermutung gemäss Art. 6 Ziff. 2 EMRK sowie das Beschleunigungsgebot im Sinne von Art. 6 Ziff. 1 EMRK . Damit werden keine Rügen vorgebracht, die vom Zürcher Kassationsgericht im Rahmen der Nichtigkeitsbeschwerde gemäss § 430 Abs. 1 Ziff. 4 und 5 der Strafprozessordnung des Kantons Zürich vom 4. Mai 1919 (StPO/ZH) nicht oder nur mit einer eingeschränk-teren Überprüfungsbefugnis beurteilt werden konnten als vom Bundesgericht im Rahmen der staatsrechtlichen Beschwerde (vgl. hierzu Donatsch/Schmid, Kommentar zur StPO des Kantons Zürich, Zürich 1998, Rz. 20 f. zu § 430 StPO /ZH; vgl. auch BGE 106 IV 85 E. 2a). Soweit mit der vorliegenden Beschwerde auch das obergerichtliche Urteil formell angefochten, d.h. dessen Aufhebung verlangt wird, kann deshalb darauf nicht eingetreten werden. cc) Das Bundesgericht prüft frei, ob das Kassationsgericht auf eine in einer kantonalen Nichtigkeitsbeschwerde gegen ein Urteil des Obergerichts vorgebrachte Rüge der willkürlichen Beweiswürdigung hin zu Unrecht Willkür verneint und diese Verfassungsverletzung nicht behoben hat ( BGE 111 Ia 353 E. 1b S. 355 mit Hinweis). Diese Prüfung läuft aber regelmässig darauf hinaus zu beurteilen, ob das Obergericht die Beweise willkürlich gewürdigt habe; trifft dies zu, hätte das Kassationsgericht Willkür bejahen müssen, und im gegenteiligen Fall hat es zu Recht Willkür verneint. Bei der Begründung der Rüge, das Kassationsgericht habe Willkür zu Unrecht verneint, darf und muss sich der Beschwerdeführer daher auch entsprechend mit den Erwägungen des Obergerichts auseinandersetzen. Mit anderen Worten kann er zwar, wie angeführt, nicht formell die Aufhebung des obergerichtlichen Urteils verlangen, darf und muss sich aber materiell gegen dessen durch das Kassationsgericht BGE 125 I 492 S. 495 überprüfte und als nicht willkürlich befundene Beweiswürdigung wenden. Da allein das Urteil des Kassationsgerichts Anfechtungsobjekt der staatsrechtlichen Beschwerde sein kann, muss dies jedoch über die Anfechtung dieses Urteils und dessen Begründung erfolgen; d.h. es muss dabei immer darum gehen, aufzuzeigen, dass und weshalb das Kassationsgericht entgegen seinen Erwägungen eine Verletzung des Willkürverbots zu Unrecht verneint hat. Der Beschwerdeführer darf sich deshalb nicht auf eine reine Wiederholung der vor Kassationsgericht gegen das obergerichtliche Urteil erhobenen Rügen beschränken, sondern hat sich zugleich mit der Begründung des Kassationsgerichts auseinander zu setzen; andernfalls genügt seine staatsrechtliche Beschwerde den Begründungsanforderungen (nachfolgend E. 1b) nicht. Das Gebot, den kantonalen Instanzenzug auszuschöpfen, hätte wenig Sinn, wenn das Bundesgericht die selben Rügen, die bereits im kantonalen Rechtsmittelverfahren geprüft worden sind, einfach nochmals behandeln würde ( BGE 111 Ia 353 E. 1b S. 354), das will heissen, ohne dass die Begründung des letztinstanzlichen kantonalen Entscheides in der Beschwerde substanziiert gerügt werden und entsprechende Berücksichtigung finden müsste. b)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125 I 71 E. 1c; BGE 122 I 70 E. 1c; BGE 117 Ia 10 E. 4b; BGE 107 Ia 186 E. b, je mit Hinweisen). Es genügt namentlich nicht, wenn der Beschwerdeführer mit pauschalen Vorbringen behauptet, der Entscheid des Obergerichts sei willkürlich und damit auch jener des Kassationsgerichts, der dies verneint. Er hat vielmehr im Einzelnen zu zeigen, inwiefern das Kassationsgericht zu Unrecht verneint haben soll, dass die Beweiswürdigung des Obergerichts offensichtlich unhaltbar sei, mit der tatsächlichen Situation in krassem und offensichtlichem Wider-spruch stehe, eine Norm oder einen unumstrittenen Rechtsgrundsatz krass verletze oder in stossender Weise dem Gerechtigkeitsgedanken zuwiderlaufe (vgl. BGE 120 Ia 31 E. 4b; ferner BGE 124 I 247 E. 5; BGE 123 I 1 E. 4a; BGE 110 Ia 1 E. 2a, je mit Hinweisen). Auch soweit der Beschwerdeführer eine Verletzung des Grundsatzes "in dubio pro BGE 125 I 492 S. 496 reo" als Beweiswürdigungsregel geltend macht, muss er im Einzelnen aufzeigen, inwiefern das Kassationsgericht zu Unrecht verneint haben soll, dass das Obergericht im Ergebnis eine willkürliche Beweiswürdigung vornahm, d.h. den Beschwerdeführer verurteilte, obgleich bei objektiver Betrachtung des ganzen Beweisergebnisses offensichtlich erhebliche bzw. schlechterdings nicht zu unterdrü-ckende Zweifel an seiner Schuld fortbestanden (vgl. BGE 120 Ia 31 E. 2d S. 38 und E. 4b; ferner BGE 124 IV 86 E. 2a, je mit Hinweisen). Diesen Anforderungen vermag die Eingabe vom 28. Juni 1999 in weiten Teilen nicht zu genügen. Der Beschwerdeführer begnügt sich namentlich über weite Strecken damit, in teils wortwörtlicher Wiederholung von bereits vor Kassationsgericht vorgetragenen Rügen die obergerichtliche Beweiswürdigung zu kritisieren, ohne sich in rechtsgenügender Weise mit den dazu angestellten Erwägungen des Kassationsgerichts auseinander zu setzen. Verschiedene Teile der Beschwerdeschrift lassen damit im dargelegten Sinn ausreichend substanziierte Verfassungsrügen gegen den Entscheid des Kassationsgerichts vermissen, wie in den nachfolgenden Erwägungen aufzuzeigen ist. Insofern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